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92"/>
        <w:tblW w:w="16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779"/>
        <w:gridCol w:w="780"/>
        <w:gridCol w:w="4119"/>
        <w:gridCol w:w="1995"/>
        <w:gridCol w:w="878"/>
        <w:gridCol w:w="1978"/>
        <w:gridCol w:w="914"/>
        <w:gridCol w:w="967"/>
        <w:gridCol w:w="939"/>
        <w:gridCol w:w="1998"/>
      </w:tblGrid>
      <w:tr w:rsidR="008F7485" w:rsidRPr="008F7485" w14:paraId="5B7317B4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40F1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3A21F" w14:textId="77777777" w:rsidR="008F7485" w:rsidRPr="008F7485" w:rsidRDefault="008F7485" w:rsidP="006C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Empresa: </w:t>
            </w:r>
            <w:r w:rsidR="006C56DE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PREFEITURA MUNICIPAL DE CERRO NEGRO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1F650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7485" w:rsidRPr="008F7485" w14:paraId="7D8E1723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38B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9CD0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A50E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07862860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918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DAC9A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Endereço :</w:t>
            </w:r>
            <w:proofErr w:type="gramEnd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3718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49576B73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9B6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9969" w14:textId="77777777" w:rsidR="008F7485" w:rsidRPr="008F7485" w:rsidRDefault="008F7485" w:rsidP="006C56DE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proofErr w:type="gramStart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Obra :</w:t>
            </w:r>
            <w:proofErr w:type="gramEnd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6C56DE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CASA COLONIAL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431C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6BCA98C9" w14:textId="77777777" w:rsidTr="00A705D5">
        <w:trPr>
          <w:trHeight w:val="225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FCC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B74F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3590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7A80D006" w14:textId="77777777" w:rsidTr="00A705D5">
        <w:trPr>
          <w:trHeight w:val="240"/>
        </w:trPr>
        <w:tc>
          <w:tcPr>
            <w:tcW w:w="16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565448F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COMPOSIÇÃO DO BDI PARA OBRAS COM MÃO-DE-OBRA DESONERADA (CONFORME LEI 13.161 DE 2015)</w:t>
            </w:r>
          </w:p>
        </w:tc>
      </w:tr>
      <w:tr w:rsidR="008F7485" w:rsidRPr="008F7485" w14:paraId="45F7C012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9664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55B13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TIPO DE OBRA: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D3EB53" w14:textId="77777777" w:rsidR="008F7485" w:rsidRPr="008F7485" w:rsidRDefault="008F7485" w:rsidP="00A705D5">
            <w:pPr>
              <w:spacing w:after="0" w:line="240" w:lineRule="auto"/>
              <w:ind w:firstLineChars="200" w:firstLine="220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 xml:space="preserve">Foi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>incluida</w:t>
            </w:r>
            <w:proofErr w:type="spellEnd"/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 xml:space="preserve"> a CPRB com alíquota de 4,50 % sobre a Receita Bruta</w:t>
            </w:r>
          </w:p>
        </w:tc>
      </w:tr>
      <w:tr w:rsidR="008F7485" w:rsidRPr="008F7485" w14:paraId="5012E5EB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423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087F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AE0E7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8F7485" w:rsidRPr="008F7485" w14:paraId="02849076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46B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45B8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COMPOSIÇÃO -  BDI PARA CONSTRUÇÃO DE EDIFICIOS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838B6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6DFC755B" w14:textId="77777777" w:rsidTr="006C56DE">
        <w:trPr>
          <w:trHeight w:val="852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B98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89F3A" w14:textId="77777777" w:rsidR="008F7485" w:rsidRPr="008F7485" w:rsidRDefault="008F7485" w:rsidP="00A705D5">
            <w:pPr>
              <w:spacing w:after="0" w:line="240" w:lineRule="auto"/>
              <w:ind w:firstLineChars="100" w:firstLine="161"/>
              <w:jc w:val="right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1587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Descrição Analítica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C031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F1065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Percentual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4F5E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7C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BF2D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D439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7F306A1A" w14:textId="77777777" w:rsidTr="006C56DE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1E6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EBA2C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918E1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Administração Central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C42F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28FD2" w14:textId="77777777" w:rsidR="008F7485" w:rsidRPr="008F7485" w:rsidRDefault="006C56DE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</w:t>
            </w:r>
            <w:r w:rsidR="008F7485"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2FB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C6B9A5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CCE40E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5C342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6AA6370E" w14:textId="77777777" w:rsidTr="006C56DE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714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EEC4C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D82E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Seguro e Garantia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13BDE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S+G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2A7B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0,80%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D8D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2B2C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604E02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8FE5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7E51A45E" w14:textId="77777777" w:rsidTr="006C56DE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AFF6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430A3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AB57C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Risco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1087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EED29" w14:textId="77777777" w:rsidR="008F7485" w:rsidRPr="008F7485" w:rsidRDefault="006C56DE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1,27</w:t>
            </w:r>
            <w:r w:rsidR="008F7485"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D2A9E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48B875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D917CD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EF43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0B5CB7F7" w14:textId="77777777" w:rsidTr="006C56DE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BB1D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28382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BFC7A" w14:textId="77777777" w:rsidR="008F7485" w:rsidRPr="008F7485" w:rsidRDefault="00BD30E2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Despes</w:t>
            </w:r>
            <w:r w:rsidR="008F7485"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as Financeiras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19D86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50948" w14:textId="77777777" w:rsidR="008F7485" w:rsidRPr="008F7485" w:rsidRDefault="006C56DE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1,23</w:t>
            </w:r>
            <w:r w:rsidR="008F7485"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1BC5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331D6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B3941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047BC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1CF1E957" w14:textId="77777777" w:rsidTr="006C56DE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28D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DB416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8197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2504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E8623" w14:textId="77777777" w:rsidR="008F7485" w:rsidRPr="008F7485" w:rsidRDefault="006C56DE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7,4</w:t>
            </w:r>
            <w:r w:rsidR="008F7485"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DE7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5EFE0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433B7D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FD0E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7B040B3F" w14:textId="77777777" w:rsidTr="006C56DE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16DC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CFD20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974E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Taxa Representativa de Tributos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46DB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I=PIS+COFINS+ISS+CPRB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1F247" w14:textId="77777777" w:rsidR="008F7485" w:rsidRPr="008F7485" w:rsidRDefault="006C56DE" w:rsidP="006C56DE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3,65</w:t>
            </w:r>
            <w:r w:rsidR="008F7485"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5DBE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91149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FEB81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A7700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2AD50981" w14:textId="77777777" w:rsidTr="006C56DE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755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22B0E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A5E26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BC2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04682" w14:textId="77777777" w:rsidR="008F7485" w:rsidRPr="008F7485" w:rsidRDefault="006C56DE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1,60</w:t>
            </w:r>
            <w:r w:rsidR="008F7485"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DC14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C37F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B54FF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8DCF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334874A7" w14:textId="77777777" w:rsidTr="006C56DE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1F1"/>
            <w:hideMark/>
          </w:tcPr>
          <w:p w14:paraId="49DA626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Alíquota       Base de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br/>
              <w:t>ISS:           Calculo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8FEF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BC75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BF4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7DA7E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5C32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3B9B0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77E23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E4B3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25985D77" w14:textId="77777777" w:rsidTr="006C56DE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B00B6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23500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81F0A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Contribuição Previdenciária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Sbore</w:t>
            </w:r>
            <w:proofErr w:type="spellEnd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a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Receira</w:t>
            </w:r>
            <w:proofErr w:type="spellEnd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Bruta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B748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CPRB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2848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4509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A5A21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489E15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54EE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F748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√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14533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Mão-de-obra desonerada</w:t>
            </w:r>
          </w:p>
        </w:tc>
      </w:tr>
      <w:tr w:rsidR="008F7485" w:rsidRPr="008F7485" w14:paraId="4B1677F4" w14:textId="77777777" w:rsidTr="006C56DE">
        <w:trPr>
          <w:trHeight w:val="240"/>
        </w:trPr>
        <w:tc>
          <w:tcPr>
            <w:tcW w:w="1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614670F3" w14:textId="77777777" w:rsidR="008F7485" w:rsidRPr="008F7485" w:rsidRDefault="008F7485" w:rsidP="00A705D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8F748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5,00%       100,00%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6668087F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401AD165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ISS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5FDFE0B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ISS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noWrap/>
            <w:hideMark/>
          </w:tcPr>
          <w:p w14:paraId="2ABBA75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4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818E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EA135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F46957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279F0C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7485" w:rsidRPr="008F7485" w14:paraId="050A1C52" w14:textId="77777777" w:rsidTr="006C56DE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4A31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1357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E0CF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8883" w14:textId="77777777" w:rsidR="008F7485" w:rsidRPr="008F7485" w:rsidRDefault="008F7485" w:rsidP="00A705D5">
            <w:pPr>
              <w:spacing w:after="0" w:line="240" w:lineRule="auto"/>
              <w:ind w:firstLineChars="500" w:firstLine="803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LIMITE CONFORME Acordão 2.622/2013 - TCU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F94E" w14:textId="77777777" w:rsidR="008F7485" w:rsidRPr="008F7485" w:rsidRDefault="008F7485" w:rsidP="00A705D5">
            <w:pPr>
              <w:spacing w:after="0" w:line="240" w:lineRule="auto"/>
              <w:ind w:firstLineChars="100" w:firstLine="161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B011ED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0A344EBE" w14:textId="77777777" w:rsidTr="00A705D5">
        <w:trPr>
          <w:trHeight w:val="39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17F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CE53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Formula - Acordão TCU 2.622/2013</w:t>
            </w: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br/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                  </w:t>
            </w:r>
            <w:proofErr w:type="gramStart"/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  (</w:t>
            </w:r>
            <w:proofErr w:type="gramEnd"/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1 + AC + S + G + R)(1 + DF)(1 + L) - 1                     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br/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BDI =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br/>
              <w:t>(1 - I)</w:t>
            </w:r>
          </w:p>
        </w:tc>
        <w:tc>
          <w:tcPr>
            <w:tcW w:w="6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9A9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3EAB0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2DD0282A" w14:textId="77777777" w:rsidTr="00A705D5">
        <w:trPr>
          <w:trHeight w:val="57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D73A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B13C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29D06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BDI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EBFF4" w14:textId="77777777" w:rsidR="008F7485" w:rsidRPr="008F7485" w:rsidRDefault="006C56DE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  <w:t>27,18</w:t>
            </w:r>
            <w:r w:rsidR="008F7485" w:rsidRPr="008F7485"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6C622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OK! Percentual do BDI quando calculado sem desoneração atende ao limite estipulado pelo Acordão TCU 2.66/2013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8C060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7C07CB07" w14:textId="77777777" w:rsidTr="00A705D5">
        <w:trPr>
          <w:trHeight w:val="225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A32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C1AF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E70C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867A2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666BB8FB" w14:textId="77777777" w:rsidTr="00A705D5">
        <w:trPr>
          <w:trHeight w:val="225"/>
        </w:trPr>
        <w:tc>
          <w:tcPr>
            <w:tcW w:w="13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4CE9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76822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39C7E00C" w14:textId="77777777" w:rsidTr="00A705D5">
        <w:trPr>
          <w:trHeight w:val="240"/>
        </w:trPr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4527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33FCA4E7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Percentual de BDI superior ao limite estipulado pelo Acordão TCU 2.622/2013 devido a soma de 4,50 % (CPRB, conforme Lei 13.161/2015) no item tributos, referente a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E4F0D8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705D5" w:rsidRPr="008F7485" w14:paraId="5F55068A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AEFB8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4B0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FAB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35C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80A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1BE4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DE4E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2C7A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672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04F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6F0E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112A6251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CB8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D4E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DB3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9884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868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EAD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0A29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065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F6FD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2F12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979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57E14A79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6FB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21A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1EF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5E4D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9F66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F05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BC7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AA5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24B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764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FD3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5EC2A396" w14:textId="77777777" w:rsidTr="00A705D5">
        <w:trPr>
          <w:trHeight w:val="6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2EAD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7E4A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C2E3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4DEE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6FF6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1B6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3A1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5F97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23A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7F1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121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1F95F25A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9F0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40B8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B7CE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4A18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CDE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8D52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43B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976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34C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534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230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4B3085AD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379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88D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247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63E2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B00A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35F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7533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5DC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820B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02D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6D83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F850854" w14:textId="77777777" w:rsidR="00A705D5" w:rsidRDefault="00A705D5" w:rsidP="0092113E">
      <w:r>
        <w:t xml:space="preserve"> </w:t>
      </w:r>
    </w:p>
    <w:sectPr w:rsidR="00A705D5" w:rsidSect="008F74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85"/>
    <w:rsid w:val="00140351"/>
    <w:rsid w:val="0027436F"/>
    <w:rsid w:val="00477930"/>
    <w:rsid w:val="004B46B8"/>
    <w:rsid w:val="006C56DE"/>
    <w:rsid w:val="008F7485"/>
    <w:rsid w:val="0092113E"/>
    <w:rsid w:val="009D6AAC"/>
    <w:rsid w:val="00A705D5"/>
    <w:rsid w:val="00AB42CB"/>
    <w:rsid w:val="00AC3843"/>
    <w:rsid w:val="00BD30E2"/>
    <w:rsid w:val="00C37449"/>
    <w:rsid w:val="00D3021E"/>
    <w:rsid w:val="00EA242D"/>
    <w:rsid w:val="00F2453D"/>
    <w:rsid w:val="00F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A7A"/>
  <w15:chartTrackingRefBased/>
  <w15:docId w15:val="{6D69E66B-F826-4EA0-8539-2C05E017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Cliente</cp:lastModifiedBy>
  <cp:revision>2</cp:revision>
  <cp:lastPrinted>2021-07-14T14:43:00Z</cp:lastPrinted>
  <dcterms:created xsi:type="dcterms:W3CDTF">2022-07-12T16:58:00Z</dcterms:created>
  <dcterms:modified xsi:type="dcterms:W3CDTF">2022-07-12T16:58:00Z</dcterms:modified>
</cp:coreProperties>
</file>